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58" w:rsidRDefault="00D24558" w:rsidP="00D24558">
      <w:pPr>
        <w:overflowPunct w:val="0"/>
        <w:spacing w:line="63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整治群众身边不正之风和“微腐败”问题专项行动工作台账</w:t>
      </w:r>
    </w:p>
    <w:p w:rsidR="00B37B21" w:rsidRDefault="00B37B21" w:rsidP="00D24558">
      <w:pPr>
        <w:overflowPunct w:val="0"/>
        <w:spacing w:line="630" w:lineRule="exact"/>
        <w:jc w:val="center"/>
        <w:rPr>
          <w:rFonts w:ascii="小标宋" w:eastAsia="小标宋" w:hAnsi="仿宋"/>
          <w:sz w:val="44"/>
          <w:szCs w:val="4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86"/>
        <w:gridCol w:w="5245"/>
        <w:gridCol w:w="1559"/>
        <w:gridCol w:w="993"/>
      </w:tblGrid>
      <w:tr w:rsidR="00D24558" w:rsidTr="0084552E">
        <w:trPr>
          <w:trHeight w:val="864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项目</w:t>
            </w:r>
          </w:p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问题清单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具体措施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责任</w:t>
            </w:r>
          </w:p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部门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完成</w:t>
            </w:r>
          </w:p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黑体" w:eastAsia="黑体" w:hAnsi="黑体" w:hint="eastAsia"/>
                <w:bCs/>
                <w:snapToGrid w:val="0"/>
                <w:color w:val="000000"/>
                <w:szCs w:val="21"/>
              </w:rPr>
              <w:t>时限</w:t>
            </w:r>
          </w:p>
        </w:tc>
      </w:tr>
      <w:tr w:rsidR="00D24558" w:rsidTr="0084552E">
        <w:trPr>
          <w:trHeight w:val="2315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医疗服务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 w:rsidP="00BE14F9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.乱收行为。在国家规定的收费项目和标准之外自立项目、分解项目收费、重复收费或擅自提高标准加收费用。主要表现为：收费不规范、不透明，甚至巧立名目乱收费、重复收费；医务人员为了创收把没病说成有病、小病说成大病、把不够住院标准患者转为住院；有的药品和耗材领的多、用的少，账计于患者，没用的继续用于其他患者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1.严格执行医保和物价政策；</w:t>
            </w:r>
          </w:p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2.落实《四川省医疗卫生机构不良执业行为记分管理办法》；</w:t>
            </w:r>
          </w:p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3.完善门诊处方、病区医嘱设计药品耗材和检查检验部分、临床检验和医学影像病理检查单动态监测制度；</w:t>
            </w:r>
          </w:p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4.深化院务公开。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F9" w:rsidRDefault="00BE14F9" w:rsidP="00BE14F9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规划财务部、</w:t>
            </w:r>
          </w:p>
          <w:p w:rsidR="00BE14F9" w:rsidRDefault="00BE14F9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医务部、</w:t>
            </w:r>
          </w:p>
          <w:p w:rsidR="00D24558" w:rsidRPr="00D24558" w:rsidRDefault="00BE14F9" w:rsidP="00BE14F9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工会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BE564B" w:rsidP="00FF23E2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D24558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D24558" w:rsidTr="0084552E">
        <w:trPr>
          <w:trHeight w:val="2470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widowControl/>
              <w:jc w:val="lef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.过度检查、过度用药行为。违背临床医学规范和伦理准则，超过疾病实际需求进行检查和治疗。主要表现为：有的检查针对性不强、可做可不做，有的人为增加检查数量，有的出院前重复检查，有的转院医院要求重新检查，增加患者费用；有的医务人员开大处方，尤其是抗菌素及辅助用药，有的患者被滥用激素，有的无指征给予静脉输液治疗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1.落实《关于推进医疗机构医学影像检查和临床检验结果互认工作的通知》，实现全省三级甲等综合医院DR、超声、CT等3项医学影像检查、29项临床检验项目结果互认覆盖；</w:t>
            </w:r>
          </w:p>
          <w:p w:rsidR="00D24558" w:rsidRPr="00D24558" w:rsidRDefault="007542B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</w:t>
            </w:r>
            <w:r w:rsidR="00D24558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.强化医院精细化管理、信息化监控、处方点评。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EE" w:rsidRDefault="007542B2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</w:t>
            </w:r>
            <w:r w:rsidR="00094EEE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、</w:t>
            </w:r>
          </w:p>
          <w:p w:rsidR="007542B2" w:rsidRDefault="007542B2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院办、</w:t>
            </w:r>
          </w:p>
          <w:p w:rsidR="00D24558" w:rsidRPr="00D24558" w:rsidRDefault="007542B2" w:rsidP="007542B2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信息管理部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D24558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D24558" w:rsidTr="0084552E">
        <w:trPr>
          <w:trHeight w:val="1422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widowControl/>
              <w:jc w:val="lef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3.过度使用医用耗材行为。特别是有的医生领取高值耗材后据为己有，不用于患者但却将账记在患者头上，并用包装皮在供应商处获取回扣等。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D24558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进一步加强对医用高值耗材全过程监管，严厉查处高值医用耗材购销领域商业贿赂行为，有效遏制损害群众利益的腐败问题发生。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EE" w:rsidRDefault="007542B2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医务部、</w:t>
            </w:r>
          </w:p>
          <w:p w:rsidR="00094EEE" w:rsidRDefault="00BE564B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医学装备部</w:t>
            </w:r>
          </w:p>
          <w:p w:rsidR="00D24558" w:rsidRPr="00D24558" w:rsidRDefault="00D24558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58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D24558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B35582" w:rsidTr="0084552E">
        <w:trPr>
          <w:trHeight w:val="1684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lastRenderedPageBreak/>
              <w:t>行政权力运行</w:t>
            </w:r>
          </w:p>
          <w:p w:rsidR="00B35582" w:rsidRPr="00D24558" w:rsidRDefault="00B35582" w:rsidP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DC674F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4.信息公开透明不够，对应该主动公开文件未及时、全面公开；对涉及群众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、职工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切身利益的惠民利民政策、群众关心关注的热点信息公开不够全面及时。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.建立规范的信息主动公开基本目录，明确公开的主体、范围、内容、方式、时限；</w:t>
            </w:r>
          </w:p>
          <w:p w:rsidR="00B35582" w:rsidRPr="00D24558" w:rsidRDefault="00B35582" w:rsidP="00D2641B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.加大深化涉及群众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、职工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切身利益的重点信息公开力度。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工会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B35582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B35582" w:rsidTr="0084552E">
        <w:trPr>
          <w:trHeight w:val="1416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6907E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5.对重大政策文件的解读尚需加大力度，解读方式方法有待创新提高。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严格落实政策解读回应相关工作要求，按照“谁起草、谁解读、谁负责”原则，及时、主动向公众做好文件解读工作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szCs w:val="21"/>
              </w:rPr>
              <w:t>机关各部门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长期坚持</w:t>
            </w:r>
          </w:p>
        </w:tc>
      </w:tr>
      <w:tr w:rsidR="00B35582" w:rsidTr="0084552E">
        <w:trPr>
          <w:trHeight w:val="1632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6907E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094EEE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6.处理侵害群众利益的信访件问题不力，按照信访事项处理流程转办相关部门后，对后续办理、答复工作重视不够，督办不到位，导致处理方式及结果不能较好对应信访诉求，导致缠访、连访时有发生。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9434B7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严格按照信访事项处理流程和规定办理，对处置情况不力，产生不良后果，造成负面影响的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部门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和个人，按规定启动问责程序。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szCs w:val="21"/>
              </w:rPr>
              <w:t>纪检监察室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长期坚持</w:t>
            </w:r>
          </w:p>
        </w:tc>
      </w:tr>
      <w:tr w:rsidR="00B35582" w:rsidTr="0084552E">
        <w:trPr>
          <w:trHeight w:val="938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6907E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7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服务态度不好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工作作风不实，如故意刁难办事群众、工作拖延推诿、作风自由散漫等。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675390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设定投诉电话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、投诉箱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，并向社会公示，接受群众监督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B35582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B35582" w:rsidRPr="001115A3" w:rsidTr="0084552E">
        <w:trPr>
          <w:trHeight w:val="2546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 w:rsidP="006907E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1115A3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8</w:t>
            </w:r>
            <w:r w:rsidRPr="001115A3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.药械采购过程中，不按规定办理，处理流程不规范、不透明，损害企业和群众利益，带来廉政风险。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1115A3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1115A3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1.按照《四川省药械集中采购申投诉处理实施细则》，</w:t>
            </w:r>
          </w:p>
          <w:p w:rsidR="00B35582" w:rsidRPr="001115A3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1115A3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规范处理企业申（投）诉：允许企业或当事人在药械集中采购任何环节提出申（投）诉，并对各类申（投）诉开展分类处理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；</w:t>
            </w:r>
          </w:p>
          <w:p w:rsidR="00B35582" w:rsidRPr="001115A3" w:rsidRDefault="00B35582" w:rsidP="001115A3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1115A3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2.坚持信息公开，公布政策咨询和投诉电话，接受社会公众监督，使权力公开透明运行。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1115A3" w:rsidRDefault="00B35582" w:rsidP="001115A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物资采购中心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1115A3" w:rsidRDefault="00BE564B" w:rsidP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B8422C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B35582" w:rsidTr="0084552E">
        <w:trPr>
          <w:trHeight w:val="938"/>
          <w:tblHeader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9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.专家评审不规范，主要表现为：评审专家库不完善，评审专家抽取办法不科学，被评单位与评审专家存在有业务联系等情况。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1.补充丰富评审专家库成员，完善各专业专家库功能；</w:t>
            </w:r>
          </w:p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2.逐步建立推行计算机随机抽取评审专家手段；</w:t>
            </w:r>
          </w:p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3.建立完善评审专家退出机制；</w:t>
            </w:r>
          </w:p>
          <w:p w:rsidR="00B35582" w:rsidRPr="00D24558" w:rsidRDefault="00B35582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4.做好保密工作，工作人员签订保密责任书，不外漏已选定专家。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35582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 xml:space="preserve">物资采购中心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82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B35582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938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项目资金监管</w:t>
            </w:r>
          </w:p>
          <w:p w:rsidR="005E0BD5" w:rsidRPr="00D24558" w:rsidRDefault="005E0BD5" w:rsidP="00AB428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1115A3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.在实施中央和省预算内投资项目及分配卫生计生项目资金时，存在违反《预算法》规定时限分配下达资金的现象。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加大政策业务培训力度，组织召开基建项目实施和资金监管培训会；利用督导调研、财务年报培训、部门预算培训等契机，加强专家指导，重点讲解最新政策，不断提高业务水平。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规划财务部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 w:rsidP="0089763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5E0BD5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938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AB4281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1115A3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.基建项目实施进度缓慢、基本建设程序履行不好、项目资金预算执行进度迟缓。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强化制度执行，认真贯彻落实《中华人民共和国预算法》、基本建设管理规定等法律法规，严格执行《四川省医疗卫生建设项目管理实施办法》、《四川省公共卫生服务补助资金管理办法》等文件。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规划财务部、</w:t>
            </w:r>
          </w:p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后勤保障部—基建科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5E0BD5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1171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1115A3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.信息报送不准确，甚至谎报。如有些项目报送信息为开工，实际现场督导发现并未开工。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CB4BF4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深入调研，全面了解项目资金执行情况，对发现的项目管理中存在的问题，制定相应监管措施，确保项目早日投入使用，资金早日发挥效益。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规划财务部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5E0BD5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779"/>
          <w:tblHeader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widowControl/>
              <w:jc w:val="lef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CB4BF4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13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.套保、骗保现象。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CB4BF4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拟制定《城乡居民基本医保基金自查自纠清理工作实施方案》，按要求开展相关专项整治工作。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规划财务部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10月</w:t>
            </w:r>
            <w:r w:rsidRPr="00D24558"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  <w:t xml:space="preserve"> </w:t>
            </w:r>
          </w:p>
        </w:tc>
      </w:tr>
      <w:tr w:rsidR="005E0BD5" w:rsidTr="0084552E">
        <w:trPr>
          <w:trHeight w:val="158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公共卫生服务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CB4BF4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14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.健康扶贫工作中，存在政策宣传还不到位、落实不到位，健康扶贫信息上报还存在不准确、不及时等问题。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1.加强思想教育、考核推动和奖勤罚懒，推动切实履职尽责；</w:t>
            </w:r>
          </w:p>
          <w:p w:rsidR="005E0BD5" w:rsidRPr="00D24558" w:rsidRDefault="005E0BD5" w:rsidP="00CB4BF4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2.加强对口支援管理，严格执行相关制度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医务部、党办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DC2E16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695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widowControl/>
              <w:jc w:val="lef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BE564B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15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.利用手中权力影响诊断。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加强管理，进一步健全诊断和鉴定监督办法，并严格诊断标准和程序，最大程度保障群众利益。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220F86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938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医德医风建设</w:t>
            </w:r>
          </w:p>
          <w:p w:rsidR="005E0BD5" w:rsidRPr="00D24558" w:rsidRDefault="005E0BD5" w:rsidP="00835B1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3346AF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16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.医务人员收受药品耗材 “回扣”和红包。主要表现为：生产企业经销人员，为扩大产品销量，在账外暗中向医务人员非法、变相送予处方费、劳务费，以及医疗机构为提高大型医疗仪器设备利用率，非法送予开单费等；病人或家属在入院时及治疗过程中给医生送钱送礼行为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3346AF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开展医务人员收受药品耗材 “回扣”综合治理行动，重视日常监管，加强部门协作，对发现问题苗头的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部门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负责人及药械生产经营企业进行约谈，并按相关规定，及时查处药械生产经营企业的商业贿赂行为。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医务部、纪检监察室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5E0BD5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938"/>
          <w:tblHeader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835B1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3346AF">
            <w:pPr>
              <w:adjustRightInd w:val="0"/>
              <w:snapToGrid w:val="0"/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17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优亲厚友,医务人员利用职权，在看病、住院、检查、拿药执行过程中，通过打招呼、插队等方式，让亲戚、朋友获得优于其他患者的待遇，短时间完成就医流程，厚此薄彼，侵害群众利益;为患者看病、住院、手术等提供便利后,接受患者及家属为表达感谢的请吃等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落实《四川省医德医风建设三年行动计划》，深化医德医风教育，筑牢为人民服务的宗旨意识。建立医德医风公示制度，完善问题线索查处机制，开展专项治理。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BE564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10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底前</w:t>
            </w:r>
            <w:r w:rsidR="005E0BD5"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并长期坚持</w:t>
            </w:r>
          </w:p>
        </w:tc>
      </w:tr>
      <w:tr w:rsidR="005E0BD5" w:rsidTr="0084552E">
        <w:trPr>
          <w:trHeight w:val="920"/>
          <w:tblHeader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BE564B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18</w:t>
            </w: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.个别医务人员有私下接受群众吃请的现象。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严格执行中央“八项规定”和省委省政府“十项规定”精神，对违规违纪行为发现一起，查处一起。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医务部、</w:t>
            </w:r>
          </w:p>
          <w:p w:rsidR="005E0BD5" w:rsidRPr="00D24558" w:rsidRDefault="005E0BD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纪检监察室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D5" w:rsidRPr="00D24558" w:rsidRDefault="005E0BD5" w:rsidP="00442D4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"/>
                <w:bCs/>
                <w:snapToGrid w:val="0"/>
                <w:color w:val="000000"/>
                <w:szCs w:val="21"/>
              </w:rPr>
            </w:pPr>
            <w:r w:rsidRPr="00D24558">
              <w:rPr>
                <w:rFonts w:ascii="仿宋_GB2312" w:eastAsia="仿宋_GB2312" w:hAnsi="仿宋" w:hint="eastAsia"/>
                <w:bCs/>
                <w:snapToGrid w:val="0"/>
                <w:color w:val="000000"/>
                <w:szCs w:val="21"/>
              </w:rPr>
              <w:t>长期坚持</w:t>
            </w:r>
          </w:p>
        </w:tc>
      </w:tr>
    </w:tbl>
    <w:p w:rsidR="00D24558" w:rsidRDefault="00D24558" w:rsidP="00D24558">
      <w:pPr>
        <w:widowControl/>
        <w:jc w:val="left"/>
        <w:rPr>
          <w:rFonts w:ascii="仿宋_GB2312" w:eastAsia="仿宋_GB2312" w:hAnsi="仿宋"/>
          <w:sz w:val="32"/>
        </w:rPr>
        <w:sectPr w:rsidR="00D24558">
          <w:pgSz w:w="16838" w:h="11906" w:orient="landscape"/>
          <w:pgMar w:top="1531" w:right="1531" w:bottom="1531" w:left="1531" w:header="851" w:footer="992" w:gutter="0"/>
          <w:cols w:space="720"/>
          <w:docGrid w:type="linesAndChars" w:linePitch="312"/>
        </w:sectPr>
      </w:pPr>
    </w:p>
    <w:p w:rsidR="007D4C15" w:rsidRDefault="007D4C15" w:rsidP="00B35582"/>
    <w:sectPr w:rsidR="007D4C15" w:rsidSect="0068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72" w:rsidRDefault="00E04C72" w:rsidP="00D24558">
      <w:r>
        <w:separator/>
      </w:r>
    </w:p>
  </w:endnote>
  <w:endnote w:type="continuationSeparator" w:id="1">
    <w:p w:rsidR="00E04C72" w:rsidRDefault="00E04C72" w:rsidP="00D2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72" w:rsidRDefault="00E04C72" w:rsidP="00D24558">
      <w:r>
        <w:separator/>
      </w:r>
    </w:p>
  </w:footnote>
  <w:footnote w:type="continuationSeparator" w:id="1">
    <w:p w:rsidR="00E04C72" w:rsidRDefault="00E04C72" w:rsidP="00D24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558"/>
    <w:rsid w:val="00094EEE"/>
    <w:rsid w:val="000B5552"/>
    <w:rsid w:val="001115A3"/>
    <w:rsid w:val="00220F86"/>
    <w:rsid w:val="00305383"/>
    <w:rsid w:val="003346AF"/>
    <w:rsid w:val="003E05F6"/>
    <w:rsid w:val="005065A5"/>
    <w:rsid w:val="005638DF"/>
    <w:rsid w:val="005E0BD5"/>
    <w:rsid w:val="00606B05"/>
    <w:rsid w:val="00614779"/>
    <w:rsid w:val="00640FF4"/>
    <w:rsid w:val="00663661"/>
    <w:rsid w:val="00675390"/>
    <w:rsid w:val="00684215"/>
    <w:rsid w:val="006A3E54"/>
    <w:rsid w:val="00706F71"/>
    <w:rsid w:val="007542B2"/>
    <w:rsid w:val="007D4C15"/>
    <w:rsid w:val="0084552E"/>
    <w:rsid w:val="008E74B5"/>
    <w:rsid w:val="009434B7"/>
    <w:rsid w:val="009744D4"/>
    <w:rsid w:val="009C6E14"/>
    <w:rsid w:val="00A664D9"/>
    <w:rsid w:val="00AA3DAE"/>
    <w:rsid w:val="00B35582"/>
    <w:rsid w:val="00B37B21"/>
    <w:rsid w:val="00B500AF"/>
    <w:rsid w:val="00B8422C"/>
    <w:rsid w:val="00BE14F9"/>
    <w:rsid w:val="00BE564B"/>
    <w:rsid w:val="00C278A1"/>
    <w:rsid w:val="00C3047E"/>
    <w:rsid w:val="00C37068"/>
    <w:rsid w:val="00C6623D"/>
    <w:rsid w:val="00CB4BF4"/>
    <w:rsid w:val="00CD3ED9"/>
    <w:rsid w:val="00CE722F"/>
    <w:rsid w:val="00D24558"/>
    <w:rsid w:val="00D2641B"/>
    <w:rsid w:val="00D93264"/>
    <w:rsid w:val="00DC2E16"/>
    <w:rsid w:val="00DC674F"/>
    <w:rsid w:val="00E04C72"/>
    <w:rsid w:val="00E50A81"/>
    <w:rsid w:val="00E81406"/>
    <w:rsid w:val="00FF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陈婷婷</cp:lastModifiedBy>
  <cp:revision>39</cp:revision>
  <cp:lastPrinted>2017-08-31T01:07:00Z</cp:lastPrinted>
  <dcterms:created xsi:type="dcterms:W3CDTF">2017-08-29T07:15:00Z</dcterms:created>
  <dcterms:modified xsi:type="dcterms:W3CDTF">2017-09-29T00:47:00Z</dcterms:modified>
</cp:coreProperties>
</file>