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EF" w:rsidRDefault="00AF0CEF" w:rsidP="00AF0CEF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color w:val="666666"/>
          <w:kern w:val="36"/>
          <w:sz w:val="40"/>
          <w:szCs w:val="40"/>
        </w:rPr>
      </w:pPr>
      <w:r>
        <w:rPr>
          <w:rFonts w:ascii="黑体" w:eastAsia="黑体" w:hAnsi="黑体" w:cs="宋体" w:hint="eastAsia"/>
          <w:color w:val="666666"/>
          <w:kern w:val="36"/>
          <w:sz w:val="40"/>
          <w:szCs w:val="40"/>
        </w:rPr>
        <w:t>成都医学院第一附属医院</w:t>
      </w:r>
    </w:p>
    <w:p w:rsidR="00AF0CEF" w:rsidRDefault="00AF0CEF" w:rsidP="00AF0CEF">
      <w:pPr>
        <w:widowControl/>
        <w:shd w:val="clear" w:color="auto" w:fill="FFFFFF"/>
        <w:jc w:val="center"/>
        <w:outlineLvl w:val="0"/>
        <w:rPr>
          <w:rFonts w:ascii="黑体" w:eastAsia="黑体" w:hAnsi="黑体" w:hint="eastAsia"/>
          <w:color w:val="666666"/>
          <w:kern w:val="36"/>
          <w:sz w:val="40"/>
          <w:szCs w:val="40"/>
        </w:rPr>
      </w:pPr>
      <w:r>
        <w:rPr>
          <w:rFonts w:ascii="黑体" w:eastAsia="黑体" w:hAnsi="黑体" w:cs="宋体" w:hint="eastAsia"/>
          <w:color w:val="666666"/>
          <w:kern w:val="36"/>
          <w:sz w:val="40"/>
          <w:szCs w:val="40"/>
        </w:rPr>
        <w:t>心血管疾病介入诊疗技术临床应用规范化培训</w:t>
      </w:r>
      <w:r>
        <w:rPr>
          <w:rFonts w:ascii="黑体" w:eastAsia="黑体" w:hAnsi="黑体" w:hint="eastAsia"/>
          <w:color w:val="666666"/>
          <w:kern w:val="36"/>
          <w:sz w:val="40"/>
          <w:szCs w:val="40"/>
        </w:rPr>
        <w:t>基地简介</w:t>
      </w:r>
    </w:p>
    <w:p w:rsidR="00FD7DF8" w:rsidRPr="00FD7DF8" w:rsidRDefault="00FD7DF8" w:rsidP="00FD7DF8">
      <w:pPr>
        <w:pStyle w:val="a5"/>
        <w:shd w:val="clear" w:color="auto" w:fill="FFFFFF"/>
        <w:spacing w:before="0" w:beforeAutospacing="0" w:after="0" w:afterAutospacing="0" w:line="620" w:lineRule="atLeast"/>
        <w:ind w:firstLineChars="200" w:firstLine="640"/>
        <w:rPr>
          <w:rFonts w:ascii="仿宋_GB2312" w:eastAsia="仿宋_GB2312" w:hAnsi="微软雅黑" w:hint="eastAsia"/>
          <w:color w:val="555555"/>
          <w:sz w:val="32"/>
          <w:szCs w:val="32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成都医学院第一附属医院始建于1948年，开放床位1800张，是一所集医疗、教学、科研、急救、预防、保健和康复于一体的三级甲等综合医院。作为成都医学院的直属附属医院，我院拥有完善的教育培养体系，师资队伍雄厚，教学设施齐全，承担了研究生、本科生、规培学员、专培学员及继续教育等教学任务，有23个国家级住院医师规范化培训基地，4个四川省专科医师培训基地，3个省高校重点实验室，1个国家级虚拟仿真实验教学中心。2021年获批“四川省限制类医疗技术—心血管疾病介入诊疗技术培训基地”。</w:t>
      </w:r>
    </w:p>
    <w:p w:rsidR="00121D1C" w:rsidRDefault="00121D1C" w:rsidP="00121D1C">
      <w:pPr>
        <w:pStyle w:val="a5"/>
        <w:shd w:val="clear" w:color="auto" w:fill="FFFFFF"/>
        <w:spacing w:before="0" w:beforeAutospacing="0" w:after="0" w:afterAutospacing="0" w:line="620" w:lineRule="atLeast"/>
        <w:ind w:firstLineChars="200" w:firstLine="640"/>
        <w:rPr>
          <w:rFonts w:ascii="仿宋_GB2312" w:eastAsia="仿宋_GB2312" w:hAnsi="微软雅黑"/>
          <w:color w:val="555555"/>
          <w:sz w:val="32"/>
          <w:szCs w:val="32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成都医学院第一附属医院心血管内科成立于上世纪七十年代，现为四川省医学甲级重点学科（心血管病），四川省专科医师培训基地（心血管内科），衰老与血管稳态四川省高等学校重点实验室，四川省老年医学学会动脉硬化专业委员会主任委员单位，中国胸痛中心标准版认证单位，中国高血压达标中心，同时学科目前已成立房颤中心、心衰中心等进一步完善和提升亚专业的建设。</w:t>
      </w:r>
    </w:p>
    <w:p w:rsidR="00121D1C" w:rsidRDefault="00121D1C" w:rsidP="00121D1C">
      <w:pPr>
        <w:pStyle w:val="a5"/>
        <w:shd w:val="clear" w:color="auto" w:fill="FFFFFF"/>
        <w:spacing w:before="0" w:beforeAutospacing="0" w:after="0" w:afterAutospacing="0" w:line="620" w:lineRule="atLeast"/>
        <w:ind w:firstLineChars="200" w:firstLine="640"/>
        <w:rPr>
          <w:rFonts w:ascii="仿宋_GB2312" w:eastAsia="仿宋_GB2312" w:hAnsi="微软雅黑"/>
          <w:color w:val="555555"/>
          <w:sz w:val="32"/>
          <w:szCs w:val="32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目前开放床位126张（其中CCU床位10张），目前已形成一个由专科一、二病区、CCU单元、介入诊治中心、心血管彩超室、3个专科门诊、体外反搏室、食道调搏及起搏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lastRenderedPageBreak/>
        <w:t>器程控室、心电分析室、心血管实验室组成的设施精良、诊疗技术先进、医教研全面发展的学科。学科配备进口血管造影机2台、血管内超声（IVUS）、冠脉旋磨仪、冠脉血流储备分数检测系统（FFR）、心脏彩超、三维标测系统、电生理检查仪、主动脉内球囊反搏仪、无创心功能仪、动脉硬化检测仪、食道调搏仪、动态心电及动态血压监测仪等。1980年开展本地区第一例心脏起搏器植入手术（曾为成都军区起搏治疗中心）。现每年完成约4000例介入诊疗手术，治疗性手术1500余例。开设胸痛中心绿色通道，急诊手术抢救成功心肌梗死患者约300例/年，针对冠脉钙化病变、慢性闭塞病变常规开展冠脉旋磨、逆向开通等技术。心律失常器械植入方面，常规开展单腔、双腔起搏器，埋藏式心脏除颤器（ICD）、心脏再同步化治疗（CRT/CRT-D），还是国内为数不多开展无导线起搏器、左束支起搏的中心。心律失常导管消融方面，常规开展室上速、房速、房扑、房颤、室早、室速的射频消融，并成为省内可独立开展房颤射频消融+左心耳封堵一站式手术的少数中心之一。在结构性心脏病及外周大血管介入方面，常规开展房间隔缺损介入封堵术（包括卵圆孔未闭）、室间隔缺损介入封堵、动脉导管未闭介入封堵、左心耳封堵术、主动脉缩窄支架植入术及经导管主动脉瓣置换术等手术。开展医疗规模及心血管介入治疗例数位于四川省前列，尤其是经不同路径开展肾上腺静脉采血进行原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lastRenderedPageBreak/>
        <w:t>发性醛固酮增多症的分型诊断等高血压筛查处于国内前列、省内领先地位，并对部分特发性醛固酮增多症采用肾上腺动脉无水酒精化学消融，取得良好临床疗效。在冠心病、高血压、心衰、心律失常、结构性心脏病等方面具有优势。</w:t>
      </w:r>
    </w:p>
    <w:p w:rsidR="00121D1C" w:rsidRDefault="00121D1C" w:rsidP="00121D1C">
      <w:pPr>
        <w:pStyle w:val="a5"/>
        <w:shd w:val="clear" w:color="auto" w:fill="FFFFFF"/>
        <w:spacing w:before="0" w:beforeAutospacing="0" w:after="0" w:afterAutospacing="0" w:line="620" w:lineRule="atLeast"/>
        <w:ind w:firstLineChars="200" w:firstLine="640"/>
        <w:rPr>
          <w:rFonts w:ascii="仿宋_GB2312" w:eastAsia="仿宋_GB2312" w:hAnsi="微软雅黑"/>
          <w:color w:val="555555"/>
          <w:sz w:val="32"/>
          <w:szCs w:val="32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现有高级职称9人、博士后1人，博士6人，硕士研究生导师8人，硕士17人，全国卫计系统系统先进工作者1名，四川省学术技术带头人1人，四川省卫健委学术与技术带头人1名，四川省学术技术带头人1人（后备人选），四川省卫健委学术与技术带头人（后备人选）1名，四川省教育厅科研创新团队学术带头人2人，已形成高学位、高素质、年龄和知识结构合理的医疗团队。</w:t>
      </w:r>
    </w:p>
    <w:p w:rsidR="00CF6CB0" w:rsidRPr="00121D1C" w:rsidRDefault="00CF6CB0"/>
    <w:sectPr w:rsidR="00CF6CB0" w:rsidRPr="0012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B0" w:rsidRDefault="00CF6CB0" w:rsidP="00121D1C">
      <w:r>
        <w:separator/>
      </w:r>
    </w:p>
  </w:endnote>
  <w:endnote w:type="continuationSeparator" w:id="1">
    <w:p w:rsidR="00CF6CB0" w:rsidRDefault="00CF6CB0" w:rsidP="00121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B0" w:rsidRDefault="00CF6CB0" w:rsidP="00121D1C">
      <w:r>
        <w:separator/>
      </w:r>
    </w:p>
  </w:footnote>
  <w:footnote w:type="continuationSeparator" w:id="1">
    <w:p w:rsidR="00CF6CB0" w:rsidRDefault="00CF6CB0" w:rsidP="00121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D1C"/>
    <w:rsid w:val="00121D1C"/>
    <w:rsid w:val="00AF0CEF"/>
    <w:rsid w:val="00CF6CB0"/>
    <w:rsid w:val="00FD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D1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21D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朱文文</dc:creator>
  <cp:keywords/>
  <dc:description/>
  <cp:lastModifiedBy>朱文文</cp:lastModifiedBy>
  <cp:revision>4</cp:revision>
  <dcterms:created xsi:type="dcterms:W3CDTF">2021-12-06T01:19:00Z</dcterms:created>
  <dcterms:modified xsi:type="dcterms:W3CDTF">2021-12-06T01:21:00Z</dcterms:modified>
</cp:coreProperties>
</file>